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808"/>
        <w:gridCol w:w="48"/>
      </w:tblGrid>
      <w:tr w:rsidR="006604CB" w:rsidTr="006604CB">
        <w:trPr>
          <w:tblCellSpacing w:w="0" w:type="dxa"/>
        </w:trPr>
        <w:tc>
          <w:tcPr>
            <w:tcW w:w="0" w:type="auto"/>
            <w:hideMark/>
          </w:tcPr>
          <w:p w:rsidR="006604CB" w:rsidRDefault="006604CB" w:rsidP="006604CB">
            <w:pPr>
              <w:pStyle w:val="Footer"/>
              <w:jc w:val="center"/>
            </w:pPr>
            <w:r>
              <w:rPr>
                <w:noProof/>
              </w:rPr>
              <w:drawing>
                <wp:inline distT="0" distB="0" distL="0" distR="0">
                  <wp:extent cx="1877695" cy="992505"/>
                  <wp:effectExtent l="19050" t="0" r="8255" b="0"/>
                  <wp:docPr id="3" name="Picture 3" descr="https://www.mahadiscom.in/m17/logo-mahavitar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hadiscom.in/m17/logo-mahavitaran-01.jpg"/>
                          <pic:cNvPicPr>
                            <a:picLocks noChangeAspect="1" noChangeArrowheads="1"/>
                          </pic:cNvPicPr>
                        </pic:nvPicPr>
                        <pic:blipFill>
                          <a:blip r:embed="rId5"/>
                          <a:srcRect/>
                          <a:stretch>
                            <a:fillRect/>
                          </a:stretch>
                        </pic:blipFill>
                        <pic:spPr bwMode="auto">
                          <a:xfrm>
                            <a:off x="0" y="0"/>
                            <a:ext cx="1877695" cy="992505"/>
                          </a:xfrm>
                          <a:prstGeom prst="rect">
                            <a:avLst/>
                          </a:prstGeom>
                          <a:noFill/>
                          <a:ln w="9525">
                            <a:noFill/>
                            <a:miter lim="800000"/>
                            <a:headEnd/>
                            <a:tailEnd/>
                          </a:ln>
                        </pic:spPr>
                      </pic:pic>
                    </a:graphicData>
                  </a:graphic>
                </wp:inline>
              </w:drawing>
            </w:r>
          </w:p>
          <w:p w:rsidR="006604CB" w:rsidRDefault="006604CB" w:rsidP="006604CB">
            <w:pPr>
              <w:pStyle w:val="Footer"/>
              <w:jc w:val="center"/>
            </w:pPr>
            <w:r>
              <w:rPr>
                <w:b/>
                <w:bCs/>
              </w:rPr>
              <w:t>Maharashtra State Electricity Distribution Co. Ltd.</w:t>
            </w:r>
            <w:r>
              <w:rPr>
                <w:b/>
                <w:bCs/>
              </w:rPr>
              <w:br/>
            </w:r>
            <w:proofErr w:type="spellStart"/>
            <w:r>
              <w:t>Prakashgad</w:t>
            </w:r>
            <w:proofErr w:type="spellEnd"/>
            <w:r>
              <w:t xml:space="preserve">, Plot No.G-9, </w:t>
            </w:r>
            <w:proofErr w:type="spellStart"/>
            <w:r>
              <w:t>Bandra</w:t>
            </w:r>
            <w:proofErr w:type="spellEnd"/>
            <w:r>
              <w:t xml:space="preserve"> (East), Mumbai – 400 051 </w:t>
            </w:r>
            <w:r>
              <w:br/>
              <w:t xml:space="preserve">É (P) 26474753, (O) 26474211 / 26472131, Fax- 26472366,Website : </w:t>
            </w:r>
            <w:hyperlink r:id="rId6" w:history="1">
              <w:r>
                <w:rPr>
                  <w:rStyle w:val="Hyperlink"/>
                </w:rPr>
                <w:t>www.mahadiscom.in</w:t>
              </w:r>
            </w:hyperlink>
          </w:p>
          <w:p w:rsidR="006604CB" w:rsidRDefault="006604CB" w:rsidP="006604CB">
            <w:r>
              <w:pict>
                <v:rect id="_x0000_i1025" style="width:0;height:1.5pt" o:hralign="center" o:hrstd="t" o:hr="t" fillcolor="#a0a0a0" stroked="f"/>
              </w:pict>
            </w:r>
          </w:p>
          <w:p w:rsidR="006604CB" w:rsidRDefault="006604CB" w:rsidP="006604CB">
            <w:pPr>
              <w:pStyle w:val="NormalWeb"/>
            </w:pPr>
            <w:r>
              <w:t>No. P-Com / Recovery/4361                                                                    Date: 18.02.2006</w:t>
            </w:r>
          </w:p>
          <w:p w:rsidR="006604CB" w:rsidRDefault="006604CB" w:rsidP="006604CB">
            <w:pPr>
              <w:pStyle w:val="NormalWeb"/>
              <w:jc w:val="center"/>
            </w:pPr>
            <w:r>
              <w:rPr>
                <w:b/>
                <w:bCs/>
                <w:lang w:val="en-GB"/>
              </w:rPr>
              <w:t>Circular No. 23</w:t>
            </w:r>
          </w:p>
          <w:p w:rsidR="006604CB" w:rsidRDefault="006604CB" w:rsidP="006604CB">
            <w:pPr>
              <w:pStyle w:val="NormalWeb"/>
            </w:pPr>
            <w:r>
              <w:rPr>
                <w:b/>
                <w:bCs/>
                <w:lang w:val="en-GB"/>
              </w:rPr>
              <w:t>Sub:            Recovery of P.D. arrears.</w:t>
            </w:r>
          </w:p>
          <w:p w:rsidR="006604CB" w:rsidRDefault="006604CB" w:rsidP="006604CB">
            <w:pPr>
              <w:pStyle w:val="NormalWeb"/>
            </w:pPr>
            <w:r>
              <w:rPr>
                <w:b/>
                <w:bCs/>
                <w:lang w:val="en-GB"/>
              </w:rPr>
              <w:t>Ref</w:t>
            </w:r>
            <w:proofErr w:type="gramStart"/>
            <w:r>
              <w:rPr>
                <w:b/>
                <w:bCs/>
                <w:lang w:val="en-GB"/>
              </w:rPr>
              <w:t>:</w:t>
            </w:r>
            <w:proofErr w:type="gramEnd"/>
            <w:r>
              <w:rPr>
                <w:b/>
                <w:bCs/>
                <w:lang w:val="en-GB"/>
              </w:rPr>
              <w:br/>
            </w:r>
            <w:r>
              <w:rPr>
                <w:lang w:val="en-GB"/>
              </w:rPr>
              <w:t xml:space="preserve">1)  P-Com/CRO/22069/ </w:t>
            </w:r>
            <w:proofErr w:type="spellStart"/>
            <w:r>
              <w:rPr>
                <w:lang w:val="en-GB"/>
              </w:rPr>
              <w:t>dtd</w:t>
            </w:r>
            <w:proofErr w:type="spellEnd"/>
            <w:r>
              <w:rPr>
                <w:lang w:val="en-GB"/>
              </w:rPr>
              <w:t>. 02.07.2005</w:t>
            </w:r>
            <w:proofErr w:type="gramStart"/>
            <w:r>
              <w:rPr>
                <w:lang w:val="en-GB"/>
              </w:rPr>
              <w:t>.</w:t>
            </w:r>
            <w:proofErr w:type="gramEnd"/>
            <w:r>
              <w:rPr>
                <w:lang w:val="en-GB"/>
              </w:rPr>
              <w:br/>
              <w:t>2)  P- Com/Accts/</w:t>
            </w:r>
            <w:proofErr w:type="spellStart"/>
            <w:r>
              <w:rPr>
                <w:lang w:val="en-GB"/>
              </w:rPr>
              <w:t>P.D.arrears</w:t>
            </w:r>
            <w:proofErr w:type="spellEnd"/>
            <w:r>
              <w:rPr>
                <w:lang w:val="en-GB"/>
              </w:rPr>
              <w:t>/Legal/24890 dtd.26.07.2005.</w:t>
            </w:r>
            <w:r>
              <w:rPr>
                <w:lang w:val="en-GB"/>
              </w:rPr>
              <w:br/>
              <w:t>3)   P-Com/CRO/1600 dtd.14.01.2005.</w:t>
            </w:r>
          </w:p>
          <w:p w:rsidR="006604CB" w:rsidRDefault="006604CB" w:rsidP="006604CB">
            <w:pPr>
              <w:pStyle w:val="NormalWeb"/>
              <w:jc w:val="both"/>
            </w:pPr>
            <w:r>
              <w:t xml:space="preserve">Attention is invited to above cited reference letters wherein instructions have been issued for recovery of live and PD arrears. In spite of this, it is noticed that there is no proper monitoring by our field staff. The responsibility is also fixed on different field officers from Assistant Engineer to Chief Engineer for arrears from Rs. 50,000/- to Rs 10 </w:t>
            </w:r>
            <w:proofErr w:type="spellStart"/>
            <w:r>
              <w:t>Lakhs</w:t>
            </w:r>
            <w:proofErr w:type="spellEnd"/>
            <w:r>
              <w:t xml:space="preserve"> and above. Due to inaction by field officers, there is no improvement in PD arrears recovery.</w:t>
            </w:r>
          </w:p>
          <w:p w:rsidR="006604CB" w:rsidRDefault="006604CB" w:rsidP="006604CB">
            <w:pPr>
              <w:pStyle w:val="NormalWeb"/>
              <w:jc w:val="both"/>
            </w:pPr>
            <w:r>
              <w:t>In view of above, to improve the collection efficiency and recovery of arrears from permanently disconnected consumers,             following steps should be taken on top priority basis.</w:t>
            </w:r>
          </w:p>
          <w:p w:rsidR="006604CB" w:rsidRDefault="006604CB" w:rsidP="006604CB">
            <w:pPr>
              <w:pStyle w:val="NormalWeb"/>
              <w:jc w:val="both"/>
            </w:pPr>
            <w:proofErr w:type="gramStart"/>
            <w:r>
              <w:t>1.Enlist</w:t>
            </w:r>
            <w:proofErr w:type="gramEnd"/>
            <w:r>
              <w:t xml:space="preserve"> the slab- wise arrears on yearly basis i.e. the action against the   consumer having huge old arrears for long time should be taken first &amp; so on.</w:t>
            </w:r>
          </w:p>
          <w:p w:rsidR="006604CB" w:rsidRDefault="006604CB" w:rsidP="006604CB">
            <w:pPr>
              <w:pStyle w:val="NormalWeb"/>
              <w:jc w:val="both"/>
            </w:pPr>
            <w:proofErr w:type="gramStart"/>
            <w:r>
              <w:t>2.Survey</w:t>
            </w:r>
            <w:proofErr w:type="gramEnd"/>
            <w:r>
              <w:t xml:space="preserve"> / inspection  of those consumer’s  premises should  be carried out immediately by section office/ sub division office level &amp; Recovery Cell.</w:t>
            </w:r>
          </w:p>
          <w:p w:rsidR="006604CB" w:rsidRDefault="006604CB" w:rsidP="006604CB">
            <w:pPr>
              <w:pStyle w:val="NormalWeb"/>
              <w:jc w:val="both"/>
            </w:pPr>
            <w:proofErr w:type="gramStart"/>
            <w:r>
              <w:t>3.If</w:t>
            </w:r>
            <w:proofErr w:type="gramEnd"/>
            <w:r>
              <w:t xml:space="preserve"> supply is taken from </w:t>
            </w:r>
            <w:proofErr w:type="spellStart"/>
            <w:r>
              <w:t>neighbour’s</w:t>
            </w:r>
            <w:proofErr w:type="spellEnd"/>
            <w:r>
              <w:t xml:space="preserve"> premises it should be disconnected immediately and  efforts should be taken to </w:t>
            </w:r>
            <w:proofErr w:type="spellStart"/>
            <w:r>
              <w:t>regularise</w:t>
            </w:r>
            <w:proofErr w:type="spellEnd"/>
            <w:r>
              <w:t xml:space="preserve"> the defaulted consumer.</w:t>
            </w:r>
          </w:p>
          <w:p w:rsidR="006604CB" w:rsidRDefault="006604CB" w:rsidP="006604CB">
            <w:pPr>
              <w:pStyle w:val="NormalWeb"/>
              <w:jc w:val="both"/>
            </w:pPr>
            <w:r>
              <w:t xml:space="preserve">4. If there is </w:t>
            </w:r>
            <w:proofErr w:type="spellStart"/>
            <w:r>
              <w:t>unauthorised</w:t>
            </w:r>
            <w:proofErr w:type="spellEnd"/>
            <w:r>
              <w:t xml:space="preserve"> use by direct hooking or any other means, it should be booked as per provisions in E.A.2003.</w:t>
            </w:r>
          </w:p>
          <w:p w:rsidR="006604CB" w:rsidRDefault="006604CB" w:rsidP="006604CB">
            <w:pPr>
              <w:pStyle w:val="NormalWeb"/>
              <w:jc w:val="both"/>
            </w:pPr>
            <w:proofErr w:type="gramStart"/>
            <w:r>
              <w:t>5.If</w:t>
            </w:r>
            <w:proofErr w:type="gramEnd"/>
            <w:r>
              <w:t xml:space="preserve"> new connection is released in the premises where there is old arrears, appropriate action should be taken to recover the old arrears as per guidelines issued vide Commercial Circular No. 4 </w:t>
            </w:r>
            <w:proofErr w:type="spellStart"/>
            <w:r>
              <w:t>dt</w:t>
            </w:r>
            <w:proofErr w:type="spellEnd"/>
            <w:r>
              <w:t>. 26/07/2005.</w:t>
            </w:r>
          </w:p>
          <w:p w:rsidR="006604CB" w:rsidRDefault="006604CB" w:rsidP="006604CB">
            <w:pPr>
              <w:pStyle w:val="NormalWeb"/>
              <w:jc w:val="both"/>
            </w:pPr>
            <w:proofErr w:type="gramStart"/>
            <w:r>
              <w:t>6.Legal</w:t>
            </w:r>
            <w:proofErr w:type="gramEnd"/>
            <w:r>
              <w:t xml:space="preserve"> suit should be filed within prescribed time limit by adjusting SD, where the PD consumer is in arrears and does not wants reconnection. It should be noted that while filing Court cases application for charge on property should also be filed.</w:t>
            </w:r>
          </w:p>
          <w:p w:rsidR="006604CB" w:rsidRDefault="006604CB" w:rsidP="006604CB">
            <w:pPr>
              <w:pStyle w:val="NormalWeb"/>
              <w:jc w:val="both"/>
            </w:pPr>
            <w:proofErr w:type="gramStart"/>
            <w:r>
              <w:t>7.In</w:t>
            </w:r>
            <w:proofErr w:type="gramEnd"/>
            <w:r>
              <w:t xml:space="preserve"> cases if court’s decree is obtained against consumer, it should be executed by attaching property.</w:t>
            </w:r>
          </w:p>
          <w:p w:rsidR="006604CB" w:rsidRDefault="006604CB" w:rsidP="006604CB">
            <w:pPr>
              <w:pStyle w:val="NormalWeb"/>
              <w:jc w:val="both"/>
            </w:pPr>
            <w:r>
              <w:t xml:space="preserve">Superintending Engineer (O &amp; M) should monitor the </w:t>
            </w:r>
            <w:proofErr w:type="spellStart"/>
            <w:r>
              <w:t>programme</w:t>
            </w:r>
            <w:proofErr w:type="spellEnd"/>
            <w:r>
              <w:t xml:space="preserve"> of recovery of live &amp; PD arrears at Circle level and send Circle wise action taken report to this office positively by 5</w:t>
            </w:r>
            <w:r>
              <w:rPr>
                <w:vertAlign w:val="superscript"/>
              </w:rPr>
              <w:t>th</w:t>
            </w:r>
            <w:r>
              <w:t xml:space="preserve"> of every month as per the enclosed </w:t>
            </w:r>
            <w:proofErr w:type="spellStart"/>
            <w:r>
              <w:t>profarma</w:t>
            </w:r>
            <w:proofErr w:type="spellEnd"/>
            <w:r>
              <w:t xml:space="preserve">.  </w:t>
            </w:r>
          </w:p>
          <w:p w:rsidR="006604CB" w:rsidRDefault="006604CB" w:rsidP="006604CB">
            <w:pPr>
              <w:pStyle w:val="NormalWeb"/>
              <w:jc w:val="center"/>
            </w:pPr>
            <w:r>
              <w:rPr>
                <w:b/>
                <w:bCs/>
                <w:lang w:val="en-GB"/>
              </w:rPr>
              <w:t>Chief Engineer (Commercial)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
              <w:gridCol w:w="473"/>
              <w:gridCol w:w="670"/>
              <w:gridCol w:w="762"/>
              <w:gridCol w:w="1083"/>
              <w:gridCol w:w="701"/>
              <w:gridCol w:w="996"/>
              <w:gridCol w:w="870"/>
              <w:gridCol w:w="1237"/>
              <w:gridCol w:w="622"/>
              <w:gridCol w:w="884"/>
              <w:gridCol w:w="527"/>
              <w:gridCol w:w="748"/>
              <w:gridCol w:w="317"/>
              <w:gridCol w:w="448"/>
              <w:gridCol w:w="283"/>
              <w:gridCol w:w="399"/>
              <w:gridCol w:w="560"/>
            </w:tblGrid>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Sr.</w:t>
                  </w:r>
                </w:p>
                <w:p w:rsidR="006604CB" w:rsidRDefault="006604CB">
                  <w:pPr>
                    <w:pStyle w:val="NormalWeb"/>
                    <w:jc w:val="center"/>
                  </w:pPr>
                  <w:r>
                    <w:t>No</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 xml:space="preserve">Total No. </w:t>
                  </w:r>
                  <w:r>
                    <w:br/>
                    <w:t>of P.D. consumers</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No. of P.D. consumers where</w:t>
                  </w:r>
                  <w:r>
                    <w:br/>
                    <w:t>survey / inspection carried out</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 xml:space="preserve">P.D. consumers </w:t>
                  </w:r>
                  <w:r>
                    <w:br/>
                    <w:t>where no new supply found</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 xml:space="preserve">P.D. consumers </w:t>
                  </w:r>
                  <w:proofErr w:type="spellStart"/>
                  <w:r>
                    <w:t>unauthorised</w:t>
                  </w:r>
                  <w:proofErr w:type="spellEnd"/>
                  <w:r>
                    <w:br/>
                    <w:t xml:space="preserve">supply taken from </w:t>
                  </w:r>
                  <w:proofErr w:type="spellStart"/>
                  <w:r>
                    <w:t>neighbour</w:t>
                  </w:r>
                  <w:proofErr w:type="spellEnd"/>
                  <w:r>
                    <w:t>/hook</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 xml:space="preserve">P.D. consumers where </w:t>
                  </w:r>
                  <w:r>
                    <w:br/>
                    <w:t>new connection released</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 xml:space="preserve">No. of consumers </w:t>
                  </w:r>
                  <w:r>
                    <w:br/>
                    <w:t>where notices issued</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Suitable</w:t>
                  </w:r>
                  <w:r>
                    <w:br/>
                    <w:t>action taken</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Recovery</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Remarks</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lastRenderedPageBreak/>
                    <w:t>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2</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3</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6604CB" w:rsidRDefault="006604CB">
                  <w:pPr>
                    <w:pStyle w:val="NormalWeb"/>
                    <w:jc w:val="center"/>
                  </w:pPr>
                  <w:r>
                    <w:t>4</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5</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6</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7</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8</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9</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pStyle w:val="NormalWeb"/>
                    <w:jc w:val="center"/>
                  </w:pPr>
                  <w:r>
                    <w:t>NO.</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pStyle w:val="NormalWeb"/>
                    <w:jc w:val="center"/>
                  </w:pPr>
                  <w:r>
                    <w:t>AMT.</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r w:rsidR="006604CB" w:rsidTr="006604CB">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gridSpan w:val="2"/>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604CB" w:rsidRDefault="006604CB">
                  <w:pPr>
                    <w:rPr>
                      <w:sz w:val="24"/>
                      <w:szCs w:val="24"/>
                    </w:rPr>
                  </w:pPr>
                  <w:r>
                    <w:t> </w:t>
                  </w:r>
                </w:p>
              </w:tc>
            </w:tr>
          </w:tbl>
          <w:p w:rsidR="006604CB" w:rsidRDefault="006604CB">
            <w:pPr>
              <w:pStyle w:val="NormalWeb"/>
            </w:pPr>
            <w:r>
              <w:t> </w:t>
            </w:r>
          </w:p>
          <w:p w:rsidR="006604CB" w:rsidRDefault="006604CB">
            <w:pPr>
              <w:pStyle w:val="NormalWeb"/>
            </w:pPr>
            <w:r>
              <w:t> </w:t>
            </w:r>
          </w:p>
        </w:tc>
        <w:tc>
          <w:tcPr>
            <w:tcW w:w="75" w:type="dxa"/>
            <w:shd w:val="clear" w:color="auto" w:fill="FFFFFF"/>
            <w:vAlign w:val="center"/>
            <w:hideMark/>
          </w:tcPr>
          <w:p w:rsidR="006604CB" w:rsidRDefault="006604CB">
            <w:pPr>
              <w:rPr>
                <w:sz w:val="24"/>
                <w:szCs w:val="24"/>
              </w:rPr>
            </w:pPr>
            <w:r>
              <w:rPr>
                <w:noProof/>
              </w:rPr>
              <w:lastRenderedPageBreak/>
              <w:drawing>
                <wp:inline distT="0" distB="0" distL="0" distR="0">
                  <wp:extent cx="48895" cy="952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7"/>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250753" w:rsidRPr="006604CB" w:rsidRDefault="00250753" w:rsidP="006604CB"/>
    <w:sectPr w:rsidR="00250753" w:rsidRPr="006604CB" w:rsidSect="006604CB">
      <w:pgSz w:w="14736" w:h="20866" w:code="12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7D54D1"/>
    <w:rsid w:val="000634AA"/>
    <w:rsid w:val="000903C3"/>
    <w:rsid w:val="000C46D0"/>
    <w:rsid w:val="00170B59"/>
    <w:rsid w:val="00250753"/>
    <w:rsid w:val="00260D47"/>
    <w:rsid w:val="003279F3"/>
    <w:rsid w:val="00342A77"/>
    <w:rsid w:val="003A5FF6"/>
    <w:rsid w:val="003A78C7"/>
    <w:rsid w:val="004B402D"/>
    <w:rsid w:val="00507DAE"/>
    <w:rsid w:val="006604CB"/>
    <w:rsid w:val="00720D87"/>
    <w:rsid w:val="00734D02"/>
    <w:rsid w:val="007C1889"/>
    <w:rsid w:val="007D54D1"/>
    <w:rsid w:val="00812438"/>
    <w:rsid w:val="00865CED"/>
    <w:rsid w:val="00881518"/>
    <w:rsid w:val="008C02F4"/>
    <w:rsid w:val="00B81AA3"/>
    <w:rsid w:val="00B87C5A"/>
    <w:rsid w:val="00CC1C8E"/>
    <w:rsid w:val="00D00E14"/>
    <w:rsid w:val="00D51C02"/>
    <w:rsid w:val="00DD779D"/>
    <w:rsid w:val="00E0313B"/>
    <w:rsid w:val="00EC7423"/>
    <w:rsid w:val="00F2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 w:type="paragraph" w:customStyle="1" w:styleId="normal0">
    <w:name w:val="normal"/>
    <w:basedOn w:val="Normal"/>
    <w:rsid w:val="00D00E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4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199778313">
      <w:bodyDiv w:val="1"/>
      <w:marLeft w:val="0"/>
      <w:marRight w:val="0"/>
      <w:marTop w:val="0"/>
      <w:marBottom w:val="0"/>
      <w:divBdr>
        <w:top w:val="none" w:sz="0" w:space="0" w:color="auto"/>
        <w:left w:val="none" w:sz="0" w:space="0" w:color="auto"/>
        <w:bottom w:val="none" w:sz="0" w:space="0" w:color="auto"/>
        <w:right w:val="none" w:sz="0" w:space="0" w:color="auto"/>
      </w:divBdr>
      <w:divsChild>
        <w:div w:id="1951353990">
          <w:marLeft w:val="0"/>
          <w:marRight w:val="0"/>
          <w:marTop w:val="0"/>
          <w:marBottom w:val="0"/>
          <w:divBdr>
            <w:top w:val="none" w:sz="0" w:space="0" w:color="auto"/>
            <w:left w:val="none" w:sz="0" w:space="0" w:color="auto"/>
            <w:bottom w:val="none" w:sz="0" w:space="0" w:color="auto"/>
            <w:right w:val="none" w:sz="0" w:space="0" w:color="auto"/>
          </w:divBdr>
        </w:div>
      </w:divsChild>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1690793899">
      <w:bodyDiv w:val="1"/>
      <w:marLeft w:val="0"/>
      <w:marRight w:val="0"/>
      <w:marTop w:val="0"/>
      <w:marBottom w:val="0"/>
      <w:divBdr>
        <w:top w:val="none" w:sz="0" w:space="0" w:color="auto"/>
        <w:left w:val="none" w:sz="0" w:space="0" w:color="auto"/>
        <w:bottom w:val="none" w:sz="0" w:space="0" w:color="auto"/>
        <w:right w:val="none" w:sz="0" w:space="0" w:color="auto"/>
      </w:divBdr>
    </w:div>
    <w:div w:id="1952542776">
      <w:bodyDiv w:val="1"/>
      <w:marLeft w:val="0"/>
      <w:marRight w:val="0"/>
      <w:marTop w:val="0"/>
      <w:marBottom w:val="0"/>
      <w:divBdr>
        <w:top w:val="none" w:sz="0" w:space="0" w:color="auto"/>
        <w:left w:val="none" w:sz="0" w:space="0" w:color="auto"/>
        <w:bottom w:val="none" w:sz="0" w:space="0" w:color="auto"/>
        <w:right w:val="none" w:sz="0" w:space="0" w:color="auto"/>
      </w:divBdr>
      <w:divsChild>
        <w:div w:id="843978433">
          <w:marLeft w:val="0"/>
          <w:marRight w:val="0"/>
          <w:marTop w:val="0"/>
          <w:marBottom w:val="0"/>
          <w:divBdr>
            <w:top w:val="none" w:sz="0" w:space="0" w:color="auto"/>
            <w:left w:val="none" w:sz="0" w:space="0" w:color="auto"/>
            <w:bottom w:val="none" w:sz="0" w:space="0" w:color="auto"/>
            <w:right w:val="none" w:sz="0" w:space="0" w:color="auto"/>
          </w:divBdr>
        </w:div>
      </w:divsChild>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085373290">
      <w:bodyDiv w:val="1"/>
      <w:marLeft w:val="0"/>
      <w:marRight w:val="0"/>
      <w:marTop w:val="0"/>
      <w:marBottom w:val="0"/>
      <w:divBdr>
        <w:top w:val="none" w:sz="0" w:space="0" w:color="auto"/>
        <w:left w:val="none" w:sz="0" w:space="0" w:color="auto"/>
        <w:bottom w:val="none" w:sz="0" w:space="0" w:color="auto"/>
        <w:right w:val="none" w:sz="0" w:space="0" w:color="auto"/>
      </w:divBdr>
      <w:divsChild>
        <w:div w:id="1848322931">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adiscom.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2018-02-15T07:04:00Z</dcterms:created>
  <dcterms:modified xsi:type="dcterms:W3CDTF">2018-02-15T07:04:00Z</dcterms:modified>
</cp:coreProperties>
</file>